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3409A2" w:rsidRDefault="003409A2" w:rsidP="007158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A2">
        <w:rPr>
          <w:rFonts w:ascii="Times New Roman" w:hAnsi="Times New Roman" w:cs="Times New Roman"/>
          <w:b/>
          <w:sz w:val="28"/>
          <w:szCs w:val="28"/>
        </w:rPr>
        <w:t>КЛИНИЧЕСКИЕ РЕКОМЕНДАЦИИ (ПРОТОКОЛ) ОКАЗАНИЯ СКОРОЙ МЕДИЦИНСКОЙ ПОМОЩИ ПРИ ТРАВМАХ ЖЕНСКИХ МОЧЕПОЛОВЫХ ОРГАНОВ</w:t>
      </w:r>
    </w:p>
    <w:p w:rsidR="001D228D" w:rsidRPr="003409A2" w:rsidRDefault="001D228D" w:rsidP="007158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9A2" w:rsidRPr="004F1898" w:rsidRDefault="003409A2" w:rsidP="00715869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  <w:r w:rsidRPr="004F1898">
        <w:rPr>
          <w:b/>
          <w:caps/>
          <w:sz w:val="28"/>
          <w:szCs w:val="28"/>
        </w:rPr>
        <w:t xml:space="preserve">Авторы: </w:t>
      </w:r>
      <w:r w:rsidRPr="004F1898">
        <w:rPr>
          <w:caps/>
          <w:sz w:val="28"/>
          <w:szCs w:val="28"/>
        </w:rPr>
        <w:t xml:space="preserve">Н.Н. </w:t>
      </w:r>
      <w:proofErr w:type="spellStart"/>
      <w:r w:rsidRPr="004F1898">
        <w:rPr>
          <w:caps/>
          <w:sz w:val="28"/>
          <w:szCs w:val="28"/>
        </w:rPr>
        <w:t>Р</w:t>
      </w:r>
      <w:r w:rsidRPr="004F1898">
        <w:rPr>
          <w:sz w:val="28"/>
          <w:szCs w:val="28"/>
        </w:rPr>
        <w:t>ухляда</w:t>
      </w:r>
      <w:proofErr w:type="spellEnd"/>
      <w:r w:rsidRPr="004F1898">
        <w:rPr>
          <w:sz w:val="28"/>
          <w:szCs w:val="28"/>
        </w:rPr>
        <w:t xml:space="preserve">, руководитель </w:t>
      </w:r>
      <w:proofErr w:type="gramStart"/>
      <w:r w:rsidRPr="004F1898">
        <w:rPr>
          <w:sz w:val="28"/>
          <w:szCs w:val="28"/>
        </w:rPr>
        <w:t>отдела гинекологии Санкт-Петербургского научно-исследовательского института скорой помощи имени</w:t>
      </w:r>
      <w:proofErr w:type="gramEnd"/>
      <w:r w:rsidRPr="004F1898">
        <w:rPr>
          <w:sz w:val="28"/>
          <w:szCs w:val="28"/>
        </w:rPr>
        <w:t xml:space="preserve"> И.И. </w:t>
      </w:r>
      <w:proofErr w:type="spellStart"/>
      <w:r w:rsidRPr="004F1898">
        <w:rPr>
          <w:sz w:val="28"/>
          <w:szCs w:val="28"/>
        </w:rPr>
        <w:t>Джанелидзе</w:t>
      </w:r>
      <w:proofErr w:type="spellEnd"/>
      <w:r w:rsidRPr="004F1898">
        <w:rPr>
          <w:caps/>
          <w:sz w:val="28"/>
          <w:szCs w:val="28"/>
        </w:rPr>
        <w:t>; Б.В.А</w:t>
      </w:r>
      <w:r w:rsidRPr="004F1898">
        <w:rPr>
          <w:sz w:val="28"/>
          <w:szCs w:val="28"/>
        </w:rPr>
        <w:t>ракелян, заместитель главного врача по акушерско-гинекологической помощи СПб ГБУЗ «Александровская больница».</w:t>
      </w:r>
    </w:p>
    <w:p w:rsidR="00196C10" w:rsidRPr="003409A2" w:rsidRDefault="00196C10" w:rsidP="00715869">
      <w:pPr>
        <w:pStyle w:val="a4"/>
        <w:suppressAutoHyphens/>
        <w:spacing w:before="0" w:beforeAutospacing="0" w:after="0" w:afterAutospacing="0" w:line="360" w:lineRule="auto"/>
        <w:rPr>
          <w:caps/>
          <w:sz w:val="28"/>
          <w:szCs w:val="28"/>
        </w:rPr>
      </w:pPr>
    </w:p>
    <w:p w:rsidR="00954CDF" w:rsidRPr="003409A2" w:rsidRDefault="001D228D" w:rsidP="007158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A2">
        <w:rPr>
          <w:rFonts w:ascii="Times New Roman" w:hAnsi="Times New Roman" w:cs="Times New Roman"/>
          <w:b/>
          <w:caps/>
          <w:sz w:val="28"/>
          <w:szCs w:val="28"/>
        </w:rPr>
        <w:t>Определение</w:t>
      </w:r>
      <w:r w:rsidR="00954CDF" w:rsidRPr="003409A2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="00954CDF"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Травматические повреждения половых путей могут возникать при дефлорации (особенно у детей и подростков), при половом акте (может быть и у рожавших женщин), при изнасиловании, при несчастных случаях, ДТП, ранениях во время введения во влагалище инородных тел с целью мастурбации или прерывания беременности во время криминального аборта. Особенностями травмы женских половых органов являются:</w:t>
      </w:r>
    </w:p>
    <w:p w:rsidR="00954CDF" w:rsidRPr="003409A2" w:rsidRDefault="00954CDF" w:rsidP="0071586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а) Травма половых органов женщины, как правило, сопровождается значительным кровотечением, что требует необходимости оказания неотложной помощи; </w:t>
      </w:r>
    </w:p>
    <w:p w:rsidR="00954CDF" w:rsidRPr="003409A2" w:rsidRDefault="00954CDF" w:rsidP="0071586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б) В значительной части случаев наружное кровотечение сочетается с </w:t>
      </w:r>
      <w:proofErr w:type="gram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внутренним</w:t>
      </w:r>
      <w:proofErr w:type="gram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;</w:t>
      </w:r>
    </w:p>
    <w:p w:rsidR="00954CDF" w:rsidRPr="003409A2" w:rsidRDefault="00954CDF" w:rsidP="0071586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в) Вследствие анатомических особенностей травмы таза и половых органов часто сопровождаются повреждением кишечника, </w:t>
      </w:r>
      <w:proofErr w:type="gram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вне</w:t>
      </w:r>
      <w:proofErr w:type="gram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или </w:t>
      </w:r>
      <w:proofErr w:type="gram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внутрибрюшинным</w:t>
      </w:r>
      <w:proofErr w:type="gram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разрывом мочевого пузыря;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96"/>
      </w:tblGrid>
      <w:tr w:rsidR="001D228D" w:rsidRPr="003409A2" w:rsidTr="00715869">
        <w:tc>
          <w:tcPr>
            <w:tcW w:w="2235" w:type="dxa"/>
          </w:tcPr>
          <w:p w:rsidR="001D228D" w:rsidRPr="003409A2" w:rsidRDefault="001D228D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1D228D" w:rsidRPr="003409A2" w:rsidRDefault="001D228D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Нозологическая форма</w:t>
            </w:r>
          </w:p>
        </w:tc>
      </w:tr>
      <w:tr w:rsidR="00954CDF" w:rsidRPr="003409A2" w:rsidTr="007158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DF" w:rsidRPr="003409A2" w:rsidRDefault="00954CDF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S30.2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DF" w:rsidRPr="003409A2" w:rsidRDefault="00954CDF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Ушиб наружных половых органов</w:t>
            </w:r>
          </w:p>
        </w:tc>
      </w:tr>
      <w:tr w:rsidR="00954CDF" w:rsidRPr="003409A2" w:rsidTr="007158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DF" w:rsidRPr="003409A2" w:rsidRDefault="00954CDF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S31.4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DF" w:rsidRPr="003409A2" w:rsidRDefault="00954CDF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Открытая рана влагалища и вульвы</w:t>
            </w:r>
          </w:p>
        </w:tc>
      </w:tr>
      <w:tr w:rsidR="00954CDF" w:rsidRPr="003409A2" w:rsidTr="007158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DF" w:rsidRPr="003409A2" w:rsidRDefault="00954CDF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S31.5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DF" w:rsidRPr="003409A2" w:rsidRDefault="00954CDF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Открытая рана других и неуточненных наружных половых органов</w:t>
            </w:r>
          </w:p>
        </w:tc>
      </w:tr>
      <w:tr w:rsidR="00954CDF" w:rsidRPr="003409A2" w:rsidTr="007158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DF" w:rsidRPr="003409A2" w:rsidRDefault="00954CDF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T19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DF" w:rsidRPr="003409A2" w:rsidRDefault="00954CDF" w:rsidP="00715869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3409A2">
              <w:rPr>
                <w:sz w:val="28"/>
                <w:szCs w:val="28"/>
              </w:rPr>
              <w:t>Инородное тело в мочеполовых путях</w:t>
            </w:r>
          </w:p>
        </w:tc>
      </w:tr>
    </w:tbl>
    <w:p w:rsidR="001D228D" w:rsidRPr="003409A2" w:rsidRDefault="001D228D" w:rsidP="00715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DF" w:rsidRPr="003409A2" w:rsidRDefault="001D228D" w:rsidP="007158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A2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  <w:r w:rsidR="00954CDF" w:rsidRPr="003409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4CDF" w:rsidRPr="003409A2" w:rsidRDefault="00954CDF" w:rsidP="00715869">
      <w:pPr>
        <w:pStyle w:val="a5"/>
        <w:numPr>
          <w:ilvl w:val="0"/>
          <w:numId w:val="6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>огнестрельные раны (сквозные, слепые, касательные);</w:t>
      </w:r>
    </w:p>
    <w:p w:rsidR="00954CDF" w:rsidRPr="003409A2" w:rsidRDefault="00954CDF" w:rsidP="00715869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>неогнестрельные повреждения (ушибы, резаные, колотые, рубленые, рваные раны);</w:t>
      </w:r>
    </w:p>
    <w:p w:rsidR="00954CDF" w:rsidRPr="003409A2" w:rsidRDefault="00954CDF" w:rsidP="00715869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>ожоги;</w:t>
      </w:r>
    </w:p>
    <w:p w:rsidR="00954CDF" w:rsidRPr="003409A2" w:rsidRDefault="00954CDF" w:rsidP="00715869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>комбинированные поражения.</w:t>
      </w:r>
    </w:p>
    <w:p w:rsidR="00954CDF" w:rsidRPr="003409A2" w:rsidRDefault="00954CDF" w:rsidP="0071586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Ранения и закрытые повреждения женских половых органов делят на изолированные и сочетанные — с одновременным повреждением других органов, систем и областей тела (брюшной полости, таза, мочевыделительной системы).</w:t>
      </w:r>
    </w:p>
    <w:p w:rsidR="001D228D" w:rsidRPr="003409A2" w:rsidRDefault="00954CDF" w:rsidP="007158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 тяжести повреждения травмы женских половых органов бывают легкими, средней тяжести и тяжелыми, что определяется характером и обширностью повреждений, величиной наружного и внутреннего кровотечения.</w:t>
      </w:r>
    </w:p>
    <w:p w:rsidR="001D228D" w:rsidRPr="003409A2" w:rsidRDefault="001D228D" w:rsidP="0071586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3409A2" w:rsidRDefault="001D228D" w:rsidP="0071586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9A2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</w:t>
      </w:r>
    </w:p>
    <w:p w:rsidR="001D228D" w:rsidRPr="003409A2" w:rsidRDefault="001D228D" w:rsidP="0071586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9A2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6E499B" w:rsidRPr="003409A2" w:rsidRDefault="001D228D" w:rsidP="007158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954CDF" w:rsidRPr="003409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4CDF" w:rsidRPr="003409A2">
        <w:rPr>
          <w:rFonts w:ascii="Times New Roman" w:hAnsi="Times New Roman" w:cs="Times New Roman"/>
          <w:sz w:val="28"/>
          <w:szCs w:val="28"/>
        </w:rPr>
        <w:t>д</w:t>
      </w:r>
      <w:r w:rsidR="00954CDF"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иагноз при травматических повреждениях половых путей устанавливают при сборе анамнеза, на основании объективного исследования: по данным осмотра наружных половых органов и входа во влагалище. </w:t>
      </w:r>
    </w:p>
    <w:p w:rsidR="006E499B" w:rsidRPr="003409A2" w:rsidRDefault="00954CDF" w:rsidP="00715869">
      <w:pPr>
        <w:pStyle w:val="a5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 xml:space="preserve">Определить вид и характер повреждения с учетом возможности внутрибрюшного кровотечения. Необходимо помнить о том, что женщина может скрыть факт травмы, в частности при изнасиловании, а особенно при криминальном аборте.  </w:t>
      </w:r>
    </w:p>
    <w:p w:rsidR="006E499B" w:rsidRPr="003409A2" w:rsidRDefault="006B1409" w:rsidP="00715869">
      <w:pPr>
        <w:pStyle w:val="a5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 xml:space="preserve">Исследовать пульс, измерить артериальное давление, оценить степень гемодинамических нарушений. </w:t>
      </w:r>
    </w:p>
    <w:p w:rsidR="006E499B" w:rsidRPr="003409A2" w:rsidRDefault="006B1409" w:rsidP="00715869">
      <w:pPr>
        <w:pStyle w:val="a5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 xml:space="preserve">После оценки общего состояния пациентки, определить характер повреждений, наличие пятен крови, спермы, особенно на нижнем белье; имеется ли алкогольное (наркотическое) опьянение. При осмотре необходимо обращать внимание на соседние органы (уретру, анус) поскольку не исключается их сочетанная травма. Осмотр </w:t>
      </w:r>
      <w:r w:rsidRPr="003409A2">
        <w:rPr>
          <w:rFonts w:eastAsia="SimSun"/>
          <w:kern w:val="2"/>
          <w:sz w:val="28"/>
          <w:szCs w:val="28"/>
          <w:lang w:eastAsia="ar-SA"/>
        </w:rPr>
        <w:lastRenderedPageBreak/>
        <w:t xml:space="preserve">необходимо проводить комплексно с целью выявления возможных травм грудной клетки, головы и т.д. </w:t>
      </w:r>
    </w:p>
    <w:p w:rsidR="006E499B" w:rsidRPr="003409A2" w:rsidRDefault="006B1409" w:rsidP="00715869">
      <w:pPr>
        <w:pStyle w:val="a5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 xml:space="preserve">Уточнить наличие возможной беременности! </w:t>
      </w:r>
    </w:p>
    <w:p w:rsidR="006B1409" w:rsidRPr="003409A2" w:rsidRDefault="006B1409" w:rsidP="00715869">
      <w:pPr>
        <w:pStyle w:val="a5"/>
        <w:numPr>
          <w:ilvl w:val="0"/>
          <w:numId w:val="8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>При изнасиловании (или подозрении на оное) о случившемся немедленно извещают правоохранительные органы.</w:t>
      </w:r>
    </w:p>
    <w:p w:rsidR="006B1409" w:rsidRPr="003409A2" w:rsidRDefault="001D228D" w:rsidP="00715869">
      <w:pPr>
        <w:tabs>
          <w:tab w:val="num" w:pos="0"/>
        </w:tabs>
        <w:spacing w:after="0" w:line="360" w:lineRule="auto"/>
        <w:ind w:firstLine="42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hAnsi="Times New Roman" w:cs="Times New Roman"/>
          <w:b/>
          <w:sz w:val="28"/>
          <w:szCs w:val="28"/>
        </w:rPr>
        <w:t>Лечение</w:t>
      </w:r>
      <w:r w:rsidR="00954CDF" w:rsidRPr="003409A2">
        <w:rPr>
          <w:rFonts w:ascii="Times New Roman" w:hAnsi="Times New Roman" w:cs="Times New Roman"/>
          <w:b/>
          <w:sz w:val="28"/>
          <w:szCs w:val="28"/>
        </w:rPr>
        <w:t>:</w:t>
      </w:r>
    </w:p>
    <w:p w:rsidR="006B1409" w:rsidRPr="003409A2" w:rsidRDefault="006B1409" w:rsidP="00715869">
      <w:pPr>
        <w:pStyle w:val="a5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>Успокоить пациентку, при необходимости ввести седативные средства (</w:t>
      </w:r>
      <w:proofErr w:type="spellStart"/>
      <w:r w:rsidRPr="003409A2">
        <w:rPr>
          <w:rFonts w:eastAsia="SimSun"/>
          <w:kern w:val="2"/>
          <w:sz w:val="28"/>
          <w:szCs w:val="28"/>
          <w:lang w:eastAsia="ar-SA"/>
        </w:rPr>
        <w:t>диазепам</w:t>
      </w:r>
      <w:proofErr w:type="spellEnd"/>
      <w:r w:rsidRPr="003409A2">
        <w:rPr>
          <w:rFonts w:eastAsia="SimSun"/>
          <w:kern w:val="2"/>
          <w:sz w:val="28"/>
          <w:szCs w:val="28"/>
          <w:lang w:eastAsia="ar-SA"/>
        </w:rPr>
        <w:t xml:space="preserve"> 5-10 мг в/в).</w:t>
      </w:r>
    </w:p>
    <w:p w:rsidR="006B1409" w:rsidRPr="003409A2" w:rsidRDefault="006B1409" w:rsidP="0071586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Обезболить (</w:t>
      </w:r>
      <w:proofErr w:type="spell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метамизол</w:t>
      </w:r>
      <w:proofErr w:type="spell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1 г (2 мл) </w:t>
      </w:r>
      <w:proofErr w:type="gram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/</w:t>
      </w:r>
      <w:proofErr w:type="gram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или в/м;  </w:t>
      </w:r>
      <w:proofErr w:type="spell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кетопрофен</w:t>
      </w:r>
      <w:proofErr w:type="spell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100 мг (2 мл) в/м).</w:t>
      </w:r>
    </w:p>
    <w:p w:rsidR="006B1409" w:rsidRPr="003409A2" w:rsidRDefault="006B1409" w:rsidP="0071586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При наличии обильных кровяных выделений ввести в/</w:t>
      </w:r>
      <w:proofErr w:type="gram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</w:t>
      </w:r>
      <w:proofErr w:type="gram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или в/в </w:t>
      </w:r>
      <w:proofErr w:type="spell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этамзилат</w:t>
      </w:r>
      <w:proofErr w:type="spell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4 мл (1000 мг) и/или </w:t>
      </w:r>
      <w:proofErr w:type="spell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транексам</w:t>
      </w:r>
      <w:proofErr w:type="spell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в/в 5 мл</w:t>
      </w:r>
      <w:r w:rsidR="00D21663"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(С, 2-)</w:t>
      </w: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:rsidR="006B1409" w:rsidRPr="003409A2" w:rsidRDefault="006B1409" w:rsidP="0071586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При наличии открытой раны промежности  наложить давящую асептическую повязку, приложить холод. </w:t>
      </w:r>
    </w:p>
    <w:p w:rsidR="006B1409" w:rsidRPr="003409A2" w:rsidRDefault="006B1409" w:rsidP="0071586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При наличии признаков геморрагического шока (озноб, холодный пот, снижение наполнения вен, тахикардия более 100 вмин, гипотония менее АД </w:t>
      </w:r>
      <w:proofErr w:type="spell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сист</w:t>
      </w:r>
      <w:proofErr w:type="spell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. менее 100 мм </w:t>
      </w:r>
      <w:proofErr w:type="spell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рт.ст</w:t>
      </w:r>
      <w:proofErr w:type="spell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.) наладить надёжный венозный доступ, начать </w:t>
      </w:r>
      <w:proofErr w:type="spell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инфузию</w:t>
      </w:r>
      <w:proofErr w:type="spell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плазмозамещающих растворов (</w:t>
      </w:r>
      <w:proofErr w:type="spell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гидроксиэтилкрахмал</w:t>
      </w:r>
      <w:proofErr w:type="spell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400 мл, раствор натрия хлорида 0,9 % - 400 мл, раствор глюкозы 5 % - 400 мл).</w:t>
      </w:r>
    </w:p>
    <w:p w:rsidR="006B1409" w:rsidRPr="003409A2" w:rsidRDefault="006B1409" w:rsidP="0071586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При обильном кровотечении с признаками прогрессирующего геморрагического шока брюшную аорту придавливают кулаком к позвоночнику слева от пупка (это удается сделать при вялой брюшной стенке). Недостатком пальцевого прижатия сосудов является невозможность длительной остановки кровотечения из-за того, что </w:t>
      </w:r>
      <w:proofErr w:type="gramStart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оказывающий</w:t>
      </w:r>
      <w:proofErr w:type="gramEnd"/>
      <w:r w:rsidRPr="003409A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помощь быстро устает. Но вместе с тем этот способ незаменим в тех случаях, когда невозможно тотчас остановить кровотечение более радикально.</w:t>
      </w:r>
    </w:p>
    <w:p w:rsidR="00920E79" w:rsidRPr="003409A2" w:rsidRDefault="001D228D" w:rsidP="007158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9A2">
        <w:rPr>
          <w:rFonts w:ascii="Times New Roman" w:hAnsi="Times New Roman" w:cs="Times New Roman"/>
          <w:b/>
          <w:sz w:val="28"/>
          <w:szCs w:val="28"/>
        </w:rPr>
        <w:t>Что нельзя делать</w:t>
      </w:r>
      <w:r w:rsidR="006B1409" w:rsidRPr="003409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20E79" w:rsidRPr="003409A2" w:rsidRDefault="00920E79" w:rsidP="00715869">
      <w:pPr>
        <w:pStyle w:val="a5"/>
        <w:numPr>
          <w:ilvl w:val="0"/>
          <w:numId w:val="5"/>
        </w:numPr>
        <w:spacing w:line="360" w:lineRule="auto"/>
        <w:ind w:left="1134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>Н</w:t>
      </w:r>
      <w:r w:rsidR="006B1409" w:rsidRPr="003409A2">
        <w:rPr>
          <w:rFonts w:eastAsia="SimSun"/>
          <w:kern w:val="2"/>
          <w:sz w:val="28"/>
          <w:szCs w:val="28"/>
          <w:lang w:eastAsia="ar-SA"/>
        </w:rPr>
        <w:t xml:space="preserve">е есть, не пить. </w:t>
      </w:r>
    </w:p>
    <w:p w:rsidR="00920E79" w:rsidRPr="003409A2" w:rsidRDefault="00920E79" w:rsidP="00715869">
      <w:pPr>
        <w:pStyle w:val="a5"/>
        <w:numPr>
          <w:ilvl w:val="0"/>
          <w:numId w:val="5"/>
        </w:numPr>
        <w:spacing w:line="360" w:lineRule="auto"/>
        <w:ind w:left="1134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 xml:space="preserve">Инородное тело не извлекать. </w:t>
      </w:r>
    </w:p>
    <w:p w:rsidR="00920E79" w:rsidRPr="003409A2" w:rsidRDefault="006B1409" w:rsidP="00715869">
      <w:pPr>
        <w:pStyle w:val="a5"/>
        <w:numPr>
          <w:ilvl w:val="0"/>
          <w:numId w:val="5"/>
        </w:numPr>
        <w:spacing w:line="360" w:lineRule="auto"/>
        <w:ind w:left="1134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 xml:space="preserve">При указании на изнасилование – не мыться, бельё не менять. </w:t>
      </w:r>
    </w:p>
    <w:p w:rsidR="006B1409" w:rsidRPr="003409A2" w:rsidRDefault="006B1409" w:rsidP="00715869">
      <w:pPr>
        <w:pStyle w:val="a5"/>
        <w:numPr>
          <w:ilvl w:val="0"/>
          <w:numId w:val="5"/>
        </w:numPr>
        <w:spacing w:line="360" w:lineRule="auto"/>
        <w:ind w:left="1134"/>
        <w:rPr>
          <w:sz w:val="28"/>
          <w:szCs w:val="28"/>
        </w:rPr>
      </w:pPr>
      <w:r w:rsidRPr="003409A2">
        <w:rPr>
          <w:sz w:val="28"/>
          <w:szCs w:val="28"/>
        </w:rPr>
        <w:lastRenderedPageBreak/>
        <w:t>Не повышать САД&gt;100.</w:t>
      </w:r>
    </w:p>
    <w:p w:rsidR="006E499B" w:rsidRPr="003409A2" w:rsidRDefault="001D228D" w:rsidP="00715869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A2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6B1409" w:rsidRPr="003409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1409" w:rsidRPr="003409A2" w:rsidRDefault="006E499B" w:rsidP="00715869">
      <w:pPr>
        <w:pStyle w:val="a5"/>
        <w:numPr>
          <w:ilvl w:val="0"/>
          <w:numId w:val="7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>П</w:t>
      </w:r>
      <w:r w:rsidR="006B1409" w:rsidRPr="003409A2">
        <w:rPr>
          <w:rFonts w:eastAsia="SimSun"/>
          <w:kern w:val="2"/>
          <w:sz w:val="28"/>
          <w:szCs w:val="28"/>
          <w:lang w:eastAsia="ar-SA"/>
        </w:rPr>
        <w:t>ациентки с травматическими повреждениями женских половых органов подлежат экстренной госпитализации в гинекологическое отделение многопрофильной больницы. Транспортировку осуществляют на носилках.</w:t>
      </w:r>
    </w:p>
    <w:p w:rsidR="006E499B" w:rsidRPr="003409A2" w:rsidRDefault="006E499B" w:rsidP="00715869">
      <w:pPr>
        <w:pStyle w:val="a5"/>
        <w:numPr>
          <w:ilvl w:val="0"/>
          <w:numId w:val="7"/>
        </w:numPr>
        <w:spacing w:line="360" w:lineRule="auto"/>
        <w:jc w:val="both"/>
        <w:rPr>
          <w:rFonts w:eastAsia="SimSun"/>
          <w:kern w:val="2"/>
          <w:sz w:val="28"/>
          <w:szCs w:val="28"/>
          <w:lang w:eastAsia="ar-SA"/>
        </w:rPr>
      </w:pPr>
      <w:r w:rsidRPr="003409A2">
        <w:rPr>
          <w:rFonts w:eastAsia="SimSun"/>
          <w:kern w:val="2"/>
          <w:sz w:val="28"/>
          <w:szCs w:val="28"/>
          <w:lang w:eastAsia="ar-SA"/>
        </w:rPr>
        <w:t>При признаках шока через бюро госпитализации известить стационар</w:t>
      </w:r>
      <w:r w:rsidR="00764982">
        <w:rPr>
          <w:rFonts w:eastAsia="SimSun"/>
          <w:kern w:val="2"/>
          <w:sz w:val="28"/>
          <w:szCs w:val="28"/>
          <w:lang w:eastAsia="ar-SA"/>
        </w:rPr>
        <w:t>, куда планируется доставить пациентку</w:t>
      </w:r>
      <w:r w:rsidRPr="003409A2">
        <w:rPr>
          <w:rFonts w:eastAsia="SimSun"/>
          <w:kern w:val="2"/>
          <w:sz w:val="28"/>
          <w:szCs w:val="28"/>
          <w:lang w:eastAsia="ar-SA"/>
        </w:rPr>
        <w:t>.</w:t>
      </w:r>
    </w:p>
    <w:p w:rsidR="00920E79" w:rsidRPr="003409A2" w:rsidRDefault="00920E79" w:rsidP="00715869">
      <w:pPr>
        <w:spacing w:after="0" w:line="360" w:lineRule="auto"/>
        <w:ind w:firstLine="426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1D228D" w:rsidRPr="003409A2" w:rsidRDefault="001D228D" w:rsidP="00715869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3409A2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3409A2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3409A2">
        <w:rPr>
          <w:rStyle w:val="1"/>
          <w:b/>
          <w:color w:val="000000"/>
          <w:sz w:val="28"/>
          <w:szCs w:val="28"/>
        </w:rPr>
        <w:t>)</w:t>
      </w:r>
    </w:p>
    <w:p w:rsidR="006B1409" w:rsidRPr="003409A2" w:rsidRDefault="002857B9" w:rsidP="00715869">
      <w:pPr>
        <w:pStyle w:val="10"/>
        <w:spacing w:after="0" w:line="360" w:lineRule="auto"/>
        <w:ind w:left="426" w:firstLine="720"/>
        <w:contextualSpacing/>
        <w:jc w:val="both"/>
        <w:rPr>
          <w:sz w:val="28"/>
          <w:szCs w:val="28"/>
        </w:rPr>
      </w:pPr>
      <w:r w:rsidRPr="003409A2">
        <w:rPr>
          <w:b/>
          <w:sz w:val="28"/>
          <w:szCs w:val="28"/>
        </w:rPr>
        <w:t>Диагностика:</w:t>
      </w:r>
    </w:p>
    <w:p w:rsidR="006B1409" w:rsidRPr="003409A2" w:rsidRDefault="002857B9" w:rsidP="00715869">
      <w:pPr>
        <w:pStyle w:val="10"/>
        <w:numPr>
          <w:ilvl w:val="0"/>
          <w:numId w:val="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>Оценить степень гемодинамических нарушений: п</w:t>
      </w:r>
      <w:r w:rsidR="006B1409" w:rsidRPr="003409A2">
        <w:rPr>
          <w:sz w:val="28"/>
          <w:szCs w:val="28"/>
        </w:rPr>
        <w:t>ри наличии геморрагического шока больная</w:t>
      </w:r>
      <w:r w:rsidRPr="003409A2">
        <w:rPr>
          <w:sz w:val="28"/>
          <w:szCs w:val="28"/>
        </w:rPr>
        <w:t xml:space="preserve">, минуя </w:t>
      </w:r>
      <w:proofErr w:type="spellStart"/>
      <w:r w:rsidRPr="003409A2">
        <w:rPr>
          <w:sz w:val="28"/>
          <w:szCs w:val="28"/>
        </w:rPr>
        <w:t>СтОСМП</w:t>
      </w:r>
      <w:proofErr w:type="spellEnd"/>
      <w:r w:rsidRPr="003409A2">
        <w:rPr>
          <w:sz w:val="28"/>
          <w:szCs w:val="28"/>
        </w:rPr>
        <w:t>,</w:t>
      </w:r>
      <w:r w:rsidR="006B1409" w:rsidRPr="003409A2">
        <w:rPr>
          <w:sz w:val="28"/>
          <w:szCs w:val="28"/>
        </w:rPr>
        <w:t xml:space="preserve"> госпитализируется  в </w:t>
      </w:r>
      <w:r w:rsidR="00427112">
        <w:rPr>
          <w:sz w:val="28"/>
          <w:szCs w:val="28"/>
        </w:rPr>
        <w:t>операционное отделение для противошоковых мероприятий</w:t>
      </w:r>
      <w:r w:rsidR="006B1409" w:rsidRPr="003409A2">
        <w:rPr>
          <w:sz w:val="28"/>
          <w:szCs w:val="28"/>
        </w:rPr>
        <w:t xml:space="preserve">, где </w:t>
      </w:r>
      <w:r w:rsidRPr="003409A2">
        <w:rPr>
          <w:sz w:val="28"/>
          <w:szCs w:val="28"/>
        </w:rPr>
        <w:t>проводятся</w:t>
      </w:r>
      <w:r w:rsidR="006B1409" w:rsidRPr="003409A2">
        <w:rPr>
          <w:sz w:val="28"/>
          <w:szCs w:val="28"/>
        </w:rPr>
        <w:t xml:space="preserve"> противошоковые мероприятия</w:t>
      </w:r>
      <w:r w:rsidRPr="003409A2">
        <w:rPr>
          <w:sz w:val="28"/>
          <w:szCs w:val="28"/>
        </w:rPr>
        <w:t xml:space="preserve"> параллельно с </w:t>
      </w:r>
      <w:proofErr w:type="gramStart"/>
      <w:r w:rsidRPr="003409A2">
        <w:rPr>
          <w:sz w:val="28"/>
          <w:szCs w:val="28"/>
        </w:rPr>
        <w:t>диагностическими</w:t>
      </w:r>
      <w:proofErr w:type="gramEnd"/>
      <w:r w:rsidRPr="003409A2">
        <w:rPr>
          <w:sz w:val="28"/>
          <w:szCs w:val="28"/>
        </w:rPr>
        <w:t>.</w:t>
      </w:r>
    </w:p>
    <w:p w:rsidR="006B1409" w:rsidRPr="003409A2" w:rsidRDefault="006B1409" w:rsidP="00715869">
      <w:pPr>
        <w:pStyle w:val="10"/>
        <w:numPr>
          <w:ilvl w:val="0"/>
          <w:numId w:val="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>Вызов специалиста (</w:t>
      </w:r>
      <w:r w:rsidR="00427112">
        <w:rPr>
          <w:sz w:val="28"/>
          <w:szCs w:val="28"/>
        </w:rPr>
        <w:t>врач-</w:t>
      </w:r>
      <w:r w:rsidRPr="003409A2">
        <w:rPr>
          <w:sz w:val="28"/>
          <w:szCs w:val="28"/>
        </w:rPr>
        <w:t xml:space="preserve">акушер-гинеколог), при необходимости смежных специалистов: </w:t>
      </w:r>
      <w:r w:rsidR="00427112">
        <w:rPr>
          <w:sz w:val="28"/>
          <w:szCs w:val="28"/>
        </w:rPr>
        <w:t>врач-</w:t>
      </w:r>
      <w:r w:rsidRPr="003409A2">
        <w:rPr>
          <w:sz w:val="28"/>
          <w:szCs w:val="28"/>
        </w:rPr>
        <w:t xml:space="preserve">уролог, </w:t>
      </w:r>
      <w:r w:rsidR="00427112">
        <w:rPr>
          <w:sz w:val="28"/>
          <w:szCs w:val="28"/>
        </w:rPr>
        <w:t>врач-</w:t>
      </w:r>
      <w:r w:rsidRPr="003409A2">
        <w:rPr>
          <w:sz w:val="28"/>
          <w:szCs w:val="28"/>
        </w:rPr>
        <w:t xml:space="preserve">хирург, </w:t>
      </w:r>
      <w:r w:rsidR="00427112">
        <w:rPr>
          <w:sz w:val="28"/>
          <w:szCs w:val="28"/>
        </w:rPr>
        <w:t>врач-</w:t>
      </w:r>
      <w:r w:rsidRPr="003409A2">
        <w:rPr>
          <w:sz w:val="28"/>
          <w:szCs w:val="28"/>
        </w:rPr>
        <w:t>травматолог</w:t>
      </w:r>
      <w:r w:rsidR="00427112">
        <w:rPr>
          <w:sz w:val="28"/>
          <w:szCs w:val="28"/>
        </w:rPr>
        <w:t>-ортопед</w:t>
      </w:r>
      <w:r w:rsidRPr="003409A2">
        <w:rPr>
          <w:sz w:val="28"/>
          <w:szCs w:val="28"/>
        </w:rPr>
        <w:t>.</w:t>
      </w:r>
    </w:p>
    <w:p w:rsidR="006B1409" w:rsidRPr="003409A2" w:rsidRDefault="00EF40E8" w:rsidP="00715869">
      <w:pPr>
        <w:pStyle w:val="10"/>
        <w:numPr>
          <w:ilvl w:val="0"/>
          <w:numId w:val="9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Клинический и биохимический анализ крови, </w:t>
      </w:r>
      <w:proofErr w:type="spellStart"/>
      <w:r>
        <w:rPr>
          <w:sz w:val="28"/>
          <w:szCs w:val="28"/>
        </w:rPr>
        <w:t>коагулограмма</w:t>
      </w:r>
      <w:proofErr w:type="spellEnd"/>
      <w:r>
        <w:rPr>
          <w:sz w:val="28"/>
          <w:szCs w:val="28"/>
        </w:rPr>
        <w:t>, общий анализ мочи, ХГЧ</w:t>
      </w:r>
      <w:r w:rsidR="006B1409" w:rsidRPr="003409A2">
        <w:rPr>
          <w:sz w:val="28"/>
          <w:szCs w:val="28"/>
        </w:rPr>
        <w:t>, а при шоке дополнительно</w:t>
      </w:r>
      <w:r>
        <w:rPr>
          <w:sz w:val="28"/>
          <w:szCs w:val="28"/>
        </w:rPr>
        <w:t xml:space="preserve"> кровь на группу и резус-фактор</w:t>
      </w:r>
      <w:r w:rsidR="002857B9" w:rsidRPr="003409A2">
        <w:rPr>
          <w:sz w:val="28"/>
          <w:szCs w:val="28"/>
        </w:rPr>
        <w:t>.</w:t>
      </w:r>
    </w:p>
    <w:p w:rsidR="002857B9" w:rsidRPr="003409A2" w:rsidRDefault="002857B9" w:rsidP="00715869">
      <w:pPr>
        <w:pStyle w:val="10"/>
        <w:numPr>
          <w:ilvl w:val="0"/>
          <w:numId w:val="9"/>
        </w:numPr>
        <w:spacing w:after="0" w:line="360" w:lineRule="auto"/>
        <w:contextualSpacing/>
        <w:jc w:val="both"/>
        <w:rPr>
          <w:sz w:val="28"/>
          <w:szCs w:val="28"/>
        </w:rPr>
      </w:pPr>
      <w:proofErr w:type="gramStart"/>
      <w:r w:rsidRPr="003409A2">
        <w:rPr>
          <w:sz w:val="28"/>
          <w:szCs w:val="28"/>
        </w:rPr>
        <w:t>УЗ-исследование</w:t>
      </w:r>
      <w:proofErr w:type="gramEnd"/>
      <w:r w:rsidRPr="003409A2">
        <w:rPr>
          <w:sz w:val="28"/>
          <w:szCs w:val="28"/>
        </w:rPr>
        <w:t xml:space="preserve"> органов малого таза и брюшной полости.</w:t>
      </w:r>
    </w:p>
    <w:p w:rsidR="002857B9" w:rsidRPr="003409A2" w:rsidRDefault="002857B9" w:rsidP="00715869">
      <w:pPr>
        <w:pStyle w:val="10"/>
        <w:numPr>
          <w:ilvl w:val="0"/>
          <w:numId w:val="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При подозрении на </w:t>
      </w:r>
      <w:proofErr w:type="spellStart"/>
      <w:r w:rsidRPr="003409A2">
        <w:rPr>
          <w:sz w:val="28"/>
          <w:szCs w:val="28"/>
        </w:rPr>
        <w:t>гемоперитонеум</w:t>
      </w:r>
      <w:proofErr w:type="spellEnd"/>
      <w:r w:rsidRPr="003409A2">
        <w:rPr>
          <w:sz w:val="28"/>
          <w:szCs w:val="28"/>
        </w:rPr>
        <w:t xml:space="preserve"> – лапароцентез, диагностическая лапароскопия.</w:t>
      </w:r>
    </w:p>
    <w:p w:rsidR="002857B9" w:rsidRPr="003409A2" w:rsidRDefault="00D84D9C" w:rsidP="00715869">
      <w:pPr>
        <w:pStyle w:val="10"/>
        <w:numPr>
          <w:ilvl w:val="0"/>
          <w:numId w:val="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При подозрении на переломы костей таза – </w:t>
      </w:r>
      <w:r w:rsidRPr="003409A2">
        <w:rPr>
          <w:sz w:val="28"/>
          <w:szCs w:val="28"/>
          <w:lang w:val="en-US"/>
        </w:rPr>
        <w:t>Rg</w:t>
      </w:r>
      <w:r w:rsidRPr="003409A2">
        <w:rPr>
          <w:sz w:val="28"/>
          <w:szCs w:val="28"/>
        </w:rPr>
        <w:t>-графия.</w:t>
      </w:r>
    </w:p>
    <w:p w:rsidR="00D84D9C" w:rsidRPr="003409A2" w:rsidRDefault="00D84D9C" w:rsidP="00715869">
      <w:pPr>
        <w:pStyle w:val="10"/>
        <w:numPr>
          <w:ilvl w:val="0"/>
          <w:numId w:val="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При проникающих (внутрибрюшных) ранениях, при ранениях задней стенки влагалища, промежности с повреждением передней стенки </w:t>
      </w:r>
      <w:r w:rsidRPr="003409A2">
        <w:rPr>
          <w:sz w:val="28"/>
          <w:szCs w:val="28"/>
        </w:rPr>
        <w:lastRenderedPageBreak/>
        <w:t xml:space="preserve">прямой кишки, а также при подозрении на сочетанную травму гениталий и кишечника – полипозиционная </w:t>
      </w:r>
      <w:r w:rsidRPr="003409A2">
        <w:rPr>
          <w:sz w:val="28"/>
          <w:szCs w:val="28"/>
          <w:lang w:val="en-US"/>
        </w:rPr>
        <w:t>Rg</w:t>
      </w:r>
      <w:r w:rsidRPr="003409A2">
        <w:rPr>
          <w:sz w:val="28"/>
          <w:szCs w:val="28"/>
        </w:rPr>
        <w:t>-графия грудной клетки и живота</w:t>
      </w:r>
      <w:r w:rsidR="00D21663" w:rsidRPr="003409A2">
        <w:rPr>
          <w:sz w:val="28"/>
          <w:szCs w:val="28"/>
        </w:rPr>
        <w:t xml:space="preserve"> (В, 2++)</w:t>
      </w:r>
      <w:r w:rsidRPr="003409A2">
        <w:rPr>
          <w:sz w:val="28"/>
          <w:szCs w:val="28"/>
        </w:rPr>
        <w:t>.</w:t>
      </w:r>
    </w:p>
    <w:p w:rsidR="006B1409" w:rsidRPr="003409A2" w:rsidRDefault="006B1409" w:rsidP="00715869">
      <w:pPr>
        <w:pStyle w:val="10"/>
        <w:numPr>
          <w:ilvl w:val="0"/>
          <w:numId w:val="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Дальнейшие действия согласуются с дежурным </w:t>
      </w:r>
      <w:r w:rsidR="00427112">
        <w:rPr>
          <w:sz w:val="28"/>
          <w:szCs w:val="28"/>
        </w:rPr>
        <w:t>врачом-</w:t>
      </w:r>
      <w:r w:rsidRPr="003409A2">
        <w:rPr>
          <w:sz w:val="28"/>
          <w:szCs w:val="28"/>
        </w:rPr>
        <w:t>акушером-гинекологом и определяются тяжестью состояния больной, предварительным диагнозом и планом ведения (</w:t>
      </w:r>
      <w:proofErr w:type="spellStart"/>
      <w:r w:rsidRPr="003409A2">
        <w:rPr>
          <w:sz w:val="28"/>
          <w:szCs w:val="28"/>
        </w:rPr>
        <w:t>дообследование</w:t>
      </w:r>
      <w:proofErr w:type="spellEnd"/>
      <w:r w:rsidRPr="003409A2">
        <w:rPr>
          <w:sz w:val="28"/>
          <w:szCs w:val="28"/>
        </w:rPr>
        <w:t xml:space="preserve"> в условиях </w:t>
      </w:r>
      <w:proofErr w:type="spellStart"/>
      <w:r w:rsidR="00427112">
        <w:rPr>
          <w:sz w:val="28"/>
          <w:szCs w:val="28"/>
        </w:rPr>
        <w:t>Ст</w:t>
      </w:r>
      <w:r w:rsidRPr="003409A2">
        <w:rPr>
          <w:sz w:val="28"/>
          <w:szCs w:val="28"/>
        </w:rPr>
        <w:t>ОСМП</w:t>
      </w:r>
      <w:proofErr w:type="spellEnd"/>
      <w:r w:rsidRPr="003409A2">
        <w:rPr>
          <w:sz w:val="28"/>
          <w:szCs w:val="28"/>
        </w:rPr>
        <w:t>, забор материала для освидетельствования при указании на изнасилование, госпитализация в гинекологическое отделение, подготовка больной к экстренной операции и подача в операционную)</w:t>
      </w:r>
      <w:r w:rsidR="00920E79" w:rsidRPr="003409A2">
        <w:rPr>
          <w:sz w:val="28"/>
          <w:szCs w:val="28"/>
        </w:rPr>
        <w:t>.</w:t>
      </w:r>
    </w:p>
    <w:p w:rsidR="006B1409" w:rsidRPr="003409A2" w:rsidRDefault="006B1409" w:rsidP="00715869">
      <w:pPr>
        <w:pStyle w:val="10"/>
        <w:numPr>
          <w:ilvl w:val="0"/>
          <w:numId w:val="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При получении травмы в результате противоправных действий, ДТП – известить правоохранительные органы.  </w:t>
      </w:r>
    </w:p>
    <w:p w:rsidR="001D228D" w:rsidRPr="003409A2" w:rsidRDefault="001D228D" w:rsidP="007158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9A2">
        <w:rPr>
          <w:rFonts w:ascii="Times New Roman" w:hAnsi="Times New Roman" w:cs="Times New Roman"/>
          <w:b/>
          <w:sz w:val="28"/>
          <w:szCs w:val="28"/>
        </w:rPr>
        <w:t>Лечение</w:t>
      </w:r>
      <w:r w:rsidR="00D84D9C" w:rsidRPr="003409A2">
        <w:rPr>
          <w:rFonts w:ascii="Times New Roman" w:hAnsi="Times New Roman" w:cs="Times New Roman"/>
          <w:b/>
          <w:sz w:val="28"/>
          <w:szCs w:val="28"/>
        </w:rPr>
        <w:t xml:space="preserve"> – оперативное:</w:t>
      </w:r>
    </w:p>
    <w:p w:rsidR="00D84D9C" w:rsidRPr="003409A2" w:rsidRDefault="00D84D9C" w:rsidP="00715869">
      <w:pPr>
        <w:pStyle w:val="10"/>
        <w:numPr>
          <w:ilvl w:val="0"/>
          <w:numId w:val="1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>Остановка кровотечения.</w:t>
      </w:r>
    </w:p>
    <w:p w:rsidR="00D84D9C" w:rsidRPr="003409A2" w:rsidRDefault="00D84D9C" w:rsidP="00715869">
      <w:pPr>
        <w:pStyle w:val="10"/>
        <w:numPr>
          <w:ilvl w:val="0"/>
          <w:numId w:val="1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>Обработка, восстановление целостности анатомических образований и органов.</w:t>
      </w:r>
    </w:p>
    <w:p w:rsidR="00D84D9C" w:rsidRPr="003409A2" w:rsidRDefault="009E357E" w:rsidP="00715869">
      <w:pPr>
        <w:pStyle w:val="10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409A2">
        <w:rPr>
          <w:b/>
          <w:sz w:val="28"/>
          <w:szCs w:val="28"/>
        </w:rPr>
        <w:t>Дальнейшее ведение пациента</w:t>
      </w:r>
      <w:r w:rsidR="00D84D9C" w:rsidRPr="003409A2">
        <w:rPr>
          <w:b/>
          <w:sz w:val="28"/>
          <w:szCs w:val="28"/>
        </w:rPr>
        <w:t xml:space="preserve">: </w:t>
      </w:r>
    </w:p>
    <w:p w:rsidR="00D84D9C" w:rsidRPr="003409A2" w:rsidRDefault="00D84D9C" w:rsidP="00715869">
      <w:pPr>
        <w:pStyle w:val="10"/>
        <w:numPr>
          <w:ilvl w:val="0"/>
          <w:numId w:val="4"/>
        </w:numPr>
        <w:spacing w:after="0" w:line="360" w:lineRule="auto"/>
        <w:ind w:left="1134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при наличии геморрагического шока больная, минуя </w:t>
      </w:r>
      <w:proofErr w:type="spellStart"/>
      <w:r w:rsidRPr="003409A2">
        <w:rPr>
          <w:sz w:val="28"/>
          <w:szCs w:val="28"/>
        </w:rPr>
        <w:t>СтОСМП</w:t>
      </w:r>
      <w:proofErr w:type="spellEnd"/>
      <w:r w:rsidRPr="003409A2">
        <w:rPr>
          <w:sz w:val="28"/>
          <w:szCs w:val="28"/>
        </w:rPr>
        <w:t>, госпитализируется</w:t>
      </w:r>
      <w:r w:rsidR="00427112">
        <w:rPr>
          <w:sz w:val="28"/>
          <w:szCs w:val="28"/>
        </w:rPr>
        <w:t xml:space="preserve"> </w:t>
      </w:r>
      <w:r w:rsidRPr="003409A2">
        <w:rPr>
          <w:sz w:val="28"/>
          <w:szCs w:val="28"/>
        </w:rPr>
        <w:t xml:space="preserve">в </w:t>
      </w:r>
      <w:bookmarkStart w:id="0" w:name="_GoBack"/>
      <w:bookmarkEnd w:id="0"/>
      <w:r w:rsidR="00427112">
        <w:rPr>
          <w:sz w:val="28"/>
          <w:szCs w:val="28"/>
        </w:rPr>
        <w:t>операционное отделение для противошоковых мероприятий</w:t>
      </w:r>
      <w:r w:rsidRPr="003409A2">
        <w:rPr>
          <w:sz w:val="28"/>
          <w:szCs w:val="28"/>
        </w:rPr>
        <w:t xml:space="preserve">, где проводятся противошоковые мероприятия параллельно с </w:t>
      </w:r>
      <w:proofErr w:type="gramStart"/>
      <w:r w:rsidRPr="003409A2">
        <w:rPr>
          <w:sz w:val="28"/>
          <w:szCs w:val="28"/>
        </w:rPr>
        <w:t>диагностическими</w:t>
      </w:r>
      <w:proofErr w:type="gramEnd"/>
      <w:r w:rsidRPr="003409A2">
        <w:rPr>
          <w:sz w:val="28"/>
          <w:szCs w:val="28"/>
        </w:rPr>
        <w:t>.</w:t>
      </w:r>
    </w:p>
    <w:p w:rsidR="007B7128" w:rsidRPr="003409A2" w:rsidRDefault="007B7128" w:rsidP="00715869">
      <w:pPr>
        <w:pStyle w:val="10"/>
        <w:numPr>
          <w:ilvl w:val="0"/>
          <w:numId w:val="4"/>
        </w:numPr>
        <w:spacing w:after="0" w:line="360" w:lineRule="auto"/>
        <w:ind w:left="1134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>все пациентки с травмами женских половых органов подлежат осмотру узкого специалист</w:t>
      </w:r>
      <w:proofErr w:type="gramStart"/>
      <w:r w:rsidRPr="003409A2">
        <w:rPr>
          <w:sz w:val="28"/>
          <w:szCs w:val="28"/>
        </w:rPr>
        <w:t>а(</w:t>
      </w:r>
      <w:proofErr w:type="gramEnd"/>
      <w:r w:rsidRPr="003409A2">
        <w:rPr>
          <w:sz w:val="28"/>
          <w:szCs w:val="28"/>
        </w:rPr>
        <w:t>-</w:t>
      </w:r>
      <w:proofErr w:type="spellStart"/>
      <w:r w:rsidRPr="003409A2">
        <w:rPr>
          <w:sz w:val="28"/>
          <w:szCs w:val="28"/>
        </w:rPr>
        <w:t>ов</w:t>
      </w:r>
      <w:proofErr w:type="spellEnd"/>
      <w:r w:rsidRPr="003409A2">
        <w:rPr>
          <w:sz w:val="28"/>
          <w:szCs w:val="28"/>
        </w:rPr>
        <w:t xml:space="preserve">) в течение не более, чем </w:t>
      </w:r>
      <w:r w:rsidR="00920E79" w:rsidRPr="003409A2">
        <w:rPr>
          <w:sz w:val="28"/>
          <w:szCs w:val="28"/>
        </w:rPr>
        <w:t xml:space="preserve">30 минут от момента поступления в </w:t>
      </w:r>
      <w:proofErr w:type="spellStart"/>
      <w:r w:rsidR="00920E79" w:rsidRPr="003409A2">
        <w:rPr>
          <w:sz w:val="28"/>
          <w:szCs w:val="28"/>
        </w:rPr>
        <w:t>СтОСМП</w:t>
      </w:r>
      <w:proofErr w:type="spellEnd"/>
      <w:r w:rsidR="00920E79" w:rsidRPr="003409A2">
        <w:rPr>
          <w:sz w:val="28"/>
          <w:szCs w:val="28"/>
        </w:rPr>
        <w:t>.</w:t>
      </w:r>
    </w:p>
    <w:p w:rsidR="007B7128" w:rsidRPr="003409A2" w:rsidRDefault="007B7128" w:rsidP="00715869">
      <w:pPr>
        <w:pStyle w:val="10"/>
        <w:numPr>
          <w:ilvl w:val="0"/>
          <w:numId w:val="4"/>
        </w:numPr>
        <w:spacing w:after="0" w:line="360" w:lineRule="auto"/>
        <w:ind w:left="1134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>необходимость выполнения каких-либо оперативных манипуляций предполагает госпитализацию пациентки в специализированное отделение, в зависимости от тяжести ведущего и иных повреждений, а также наличия (отсутствия) беременности.</w:t>
      </w:r>
    </w:p>
    <w:p w:rsidR="007B7128" w:rsidRDefault="007B7128" w:rsidP="00715869">
      <w:pPr>
        <w:pStyle w:val="10"/>
        <w:numPr>
          <w:ilvl w:val="0"/>
          <w:numId w:val="4"/>
        </w:numPr>
        <w:spacing w:after="0" w:line="360" w:lineRule="auto"/>
        <w:ind w:left="1134"/>
        <w:contextualSpacing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незначительные повреждения наружных половых органов (ссадины, гематомы, не требующие вскрытия, </w:t>
      </w:r>
      <w:r w:rsidR="00920E79" w:rsidRPr="003409A2">
        <w:rPr>
          <w:sz w:val="28"/>
          <w:szCs w:val="28"/>
        </w:rPr>
        <w:t xml:space="preserve">царапины и т.п.) после </w:t>
      </w:r>
      <w:r w:rsidR="00920E79" w:rsidRPr="003409A2">
        <w:rPr>
          <w:sz w:val="28"/>
          <w:szCs w:val="28"/>
        </w:rPr>
        <w:lastRenderedPageBreak/>
        <w:t>диагностических мероприятий и обработки (при необходимости) являются показанием для амбулаторного лечения по месту жительства.</w:t>
      </w:r>
    </w:p>
    <w:p w:rsidR="00715869" w:rsidRDefault="00715869" w:rsidP="00715869">
      <w:pPr>
        <w:pStyle w:val="10"/>
        <w:spacing w:after="0" w:line="360" w:lineRule="auto"/>
        <w:contextualSpacing/>
        <w:jc w:val="both"/>
        <w:rPr>
          <w:sz w:val="28"/>
          <w:szCs w:val="28"/>
        </w:rPr>
      </w:pPr>
    </w:p>
    <w:p w:rsidR="00715869" w:rsidRPr="007D5208" w:rsidRDefault="00715869" w:rsidP="00715869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  <w:r w:rsidRPr="007D5208">
        <w:rPr>
          <w:rStyle w:val="a8"/>
          <w:rFonts w:ascii="Times New Roman" w:hAnsi="Times New Roman"/>
          <w:sz w:val="28"/>
          <w:szCs w:val="28"/>
        </w:rPr>
        <w:t>Приложение</w:t>
      </w:r>
    </w:p>
    <w:p w:rsidR="00715869" w:rsidRPr="006C6D8F" w:rsidRDefault="00715869" w:rsidP="00715869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6C6D8F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6C6D8F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715869" w:rsidRPr="006C6D8F" w:rsidRDefault="00715869" w:rsidP="00715869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327"/>
      </w:tblGrid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715869" w:rsidRPr="007D5208" w:rsidRDefault="00715869" w:rsidP="00715869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715869" w:rsidRPr="0088104A" w:rsidRDefault="00715869" w:rsidP="00715869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8104A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566"/>
      </w:tblGrid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715869" w:rsidRPr="007D5208" w:rsidTr="003C2DFD">
        <w:tc>
          <w:tcPr>
            <w:tcW w:w="1648" w:type="dxa"/>
          </w:tcPr>
          <w:p w:rsidR="00715869" w:rsidRPr="007D5208" w:rsidRDefault="00715869" w:rsidP="00715869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715869" w:rsidRPr="007D5208" w:rsidRDefault="00715869" w:rsidP="00715869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715869" w:rsidRPr="007D5208" w:rsidRDefault="00715869" w:rsidP="00715869">
      <w:pPr>
        <w:pStyle w:val="721"/>
        <w:keepNext/>
        <w:keepLines/>
        <w:shd w:val="clear" w:color="auto" w:fill="auto"/>
        <w:suppressAutoHyphens/>
        <w:spacing w:before="0" w:after="0" w:line="360" w:lineRule="auto"/>
        <w:ind w:left="720" w:right="200"/>
        <w:jc w:val="left"/>
        <w:rPr>
          <w:rStyle w:val="722"/>
          <w:rFonts w:ascii="Times New Roman" w:hAnsi="Times New Roman" w:cs="Times New Roman"/>
          <w:color w:val="000000"/>
          <w:sz w:val="28"/>
          <w:szCs w:val="28"/>
        </w:rPr>
      </w:pPr>
    </w:p>
    <w:sectPr w:rsidR="00715869" w:rsidRPr="007D5208" w:rsidSect="003409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>
    <w:nsid w:val="0EE224D4"/>
    <w:multiLevelType w:val="hybridMultilevel"/>
    <w:tmpl w:val="2CA660E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FA90388"/>
    <w:multiLevelType w:val="hybridMultilevel"/>
    <w:tmpl w:val="5F5240F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6C702C5"/>
    <w:multiLevelType w:val="hybridMultilevel"/>
    <w:tmpl w:val="D040B0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91780B"/>
    <w:multiLevelType w:val="hybridMultilevel"/>
    <w:tmpl w:val="FF62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795A"/>
    <w:multiLevelType w:val="hybridMultilevel"/>
    <w:tmpl w:val="936E6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076409"/>
    <w:multiLevelType w:val="hybridMultilevel"/>
    <w:tmpl w:val="DB3E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0F60"/>
    <w:multiLevelType w:val="hybridMultilevel"/>
    <w:tmpl w:val="1BA26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4227A9"/>
    <w:multiLevelType w:val="hybridMultilevel"/>
    <w:tmpl w:val="87FE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6"/>
  <w:proofState w:spelling="clean" w:grammar="clean"/>
  <w:defaultTabStop w:val="708"/>
  <w:characterSpacingControl w:val="doNotCompress"/>
  <w:compat/>
  <w:rsids>
    <w:rsidRoot w:val="009A4987"/>
    <w:rsid w:val="000217F3"/>
    <w:rsid w:val="00086E37"/>
    <w:rsid w:val="001210D6"/>
    <w:rsid w:val="001630C2"/>
    <w:rsid w:val="00196C10"/>
    <w:rsid w:val="001D228D"/>
    <w:rsid w:val="001F52B0"/>
    <w:rsid w:val="00225C57"/>
    <w:rsid w:val="00246A2E"/>
    <w:rsid w:val="00250277"/>
    <w:rsid w:val="0027396E"/>
    <w:rsid w:val="002857B9"/>
    <w:rsid w:val="002D6E92"/>
    <w:rsid w:val="002F0849"/>
    <w:rsid w:val="003409A2"/>
    <w:rsid w:val="003E0133"/>
    <w:rsid w:val="00407EC5"/>
    <w:rsid w:val="00427112"/>
    <w:rsid w:val="004D68AE"/>
    <w:rsid w:val="00562BAD"/>
    <w:rsid w:val="005779EB"/>
    <w:rsid w:val="005C180D"/>
    <w:rsid w:val="0062696B"/>
    <w:rsid w:val="006506CA"/>
    <w:rsid w:val="00683D5E"/>
    <w:rsid w:val="006947F9"/>
    <w:rsid w:val="006B1409"/>
    <w:rsid w:val="006E499B"/>
    <w:rsid w:val="00715869"/>
    <w:rsid w:val="00730770"/>
    <w:rsid w:val="00756005"/>
    <w:rsid w:val="00764982"/>
    <w:rsid w:val="007B7128"/>
    <w:rsid w:val="0084399C"/>
    <w:rsid w:val="008733F4"/>
    <w:rsid w:val="008A258F"/>
    <w:rsid w:val="008A5783"/>
    <w:rsid w:val="00906AF6"/>
    <w:rsid w:val="00920E79"/>
    <w:rsid w:val="00954CDF"/>
    <w:rsid w:val="009A4987"/>
    <w:rsid w:val="009C6285"/>
    <w:rsid w:val="009E357E"/>
    <w:rsid w:val="00A23763"/>
    <w:rsid w:val="00BB6A9F"/>
    <w:rsid w:val="00BF5D52"/>
    <w:rsid w:val="00C73525"/>
    <w:rsid w:val="00CD51B2"/>
    <w:rsid w:val="00D21663"/>
    <w:rsid w:val="00D515F9"/>
    <w:rsid w:val="00D84D9C"/>
    <w:rsid w:val="00E853D6"/>
    <w:rsid w:val="00EF0610"/>
    <w:rsid w:val="00E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paragraph" w:customStyle="1" w:styleId="10">
    <w:name w:val="Абзац списка1"/>
    <w:basedOn w:val="a"/>
    <w:rsid w:val="006B1409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  <w:style w:type="character" w:customStyle="1" w:styleId="72">
    <w:name w:val="Заголовок №7 (2)_"/>
    <w:basedOn w:val="a0"/>
    <w:link w:val="721"/>
    <w:uiPriority w:val="99"/>
    <w:rsid w:val="00715869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715869"/>
  </w:style>
  <w:style w:type="paragraph" w:customStyle="1" w:styleId="721">
    <w:name w:val="Заголовок №7 (2)1"/>
    <w:basedOn w:val="a"/>
    <w:link w:val="72"/>
    <w:uiPriority w:val="99"/>
    <w:rsid w:val="00715869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paragraph" w:customStyle="1" w:styleId="10">
    <w:name w:val="Абзац списка1"/>
    <w:basedOn w:val="a"/>
    <w:rsid w:val="006B1409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2E525-2750-40EA-A81F-50699CC9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14</cp:revision>
  <dcterms:created xsi:type="dcterms:W3CDTF">2013-10-06T06:03:00Z</dcterms:created>
  <dcterms:modified xsi:type="dcterms:W3CDTF">2013-10-07T20:28:00Z</dcterms:modified>
</cp:coreProperties>
</file>